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textAlignment w:val="auto"/>
        <w:rPr>
          <w:rFonts w:hint="default" w:ascii="宋体" w:hAnsi="宋体" w:eastAsiaTheme="minorEastAsia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8"/>
          <w:highlight w:val="none"/>
        </w:rPr>
        <w:t>附件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/>
          <w:b/>
          <w:bCs/>
          <w:sz w:val="28"/>
          <w:szCs w:val="28"/>
          <w:highlight w:val="none"/>
        </w:rPr>
        <w:t>：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合同主要条款</w:t>
      </w:r>
    </w:p>
    <w:bookmarkEnd w:id="0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一、分成及考核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福桔少儿项目合作期两年，首年收入目标为400万元。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考核采用一年一考核，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考核周期为合同生效之日起一年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</w:rPr>
        <w:t>年度梯度分成考核如下：</w:t>
      </w:r>
    </w:p>
    <w:tbl>
      <w:tblPr>
        <w:tblStyle w:val="3"/>
        <w:tblW w:w="9050" w:type="dxa"/>
        <w:tblInd w:w="22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06"/>
        <w:gridCol w:w="62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76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序号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76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考核条款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76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分成条款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</w:rPr>
              <w:t>1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</w:rPr>
              <w:t>年度实际收入≧年度目标收入的1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lang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</w:rPr>
              <w:t>0%</w:t>
            </w:r>
          </w:p>
        </w:tc>
        <w:tc>
          <w:tcPr>
            <w:tcW w:w="62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76" w:lineRule="auto"/>
              <w:ind w:left="0" w:firstLine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运营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支撑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方按约定比例分成，即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%（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highlight w:val="none"/>
              </w:rPr>
              <w:t>广网融科公司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）：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%（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）：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0%（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运营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支撑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方）。</w:t>
            </w:r>
          </w:p>
          <w:p>
            <w:pPr>
              <w:numPr>
                <w:ilvl w:val="-1"/>
                <w:numId w:val="0"/>
              </w:numPr>
              <w:spacing w:line="276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2.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以各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实际结算收入为基数，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向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highlight w:val="none"/>
              </w:rPr>
              <w:t>广网融科公司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支付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%的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运营费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lang w:eastAsia="zh-CN"/>
              </w:rPr>
              <w:t>2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</w:rPr>
              <w:t>80%≦年度实际收入&lt;100%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76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运营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支撑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方按约定比例分成，即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%（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highlight w:val="none"/>
              </w:rPr>
              <w:t>广网融科公司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）：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%（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）：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0%（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运营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支撑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方）。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76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以各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实际结算收入为基数，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向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highlight w:val="none"/>
              </w:rPr>
              <w:t>广网融科公司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支付10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%的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运营费。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lang w:eastAsia="zh-CN"/>
              </w:rPr>
              <w:t>3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</w:rPr>
              <w:t>60%≤年度实际收入&lt;80%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76" w:lineRule="auto"/>
              <w:ind w:lef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</w:rPr>
              <w:t>调低当年分成比例为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lang w:val="en-US" w:eastAsia="zh-CN"/>
              </w:rPr>
              <w:t>55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</w:rPr>
              <w:t>%（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highlight w:val="none"/>
              </w:rPr>
              <w:t>广网融科公司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</w:rPr>
              <w:t>）：35%（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</w:rPr>
              <w:t>）：1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</w:rPr>
              <w:t>%（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lang w:eastAsia="zh-CN"/>
              </w:rPr>
              <w:t>运营</w:t>
            </w:r>
            <w:r>
              <w:rPr>
                <w:rFonts w:hint="eastAsia" w:asciiTheme="minorEastAsia" w:hAnsiTheme="minorEastAsia" w:cstheme="minorEastAsia"/>
                <w:sz w:val="24"/>
                <w:u w:val="none"/>
                <w:lang w:val="en-US" w:eastAsia="zh-CN"/>
              </w:rPr>
              <w:t>支撑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</w:rPr>
              <w:t>方）。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76" w:lineRule="auto"/>
              <w:ind w:lef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以各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实际结算收入为基数，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向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highlight w:val="none"/>
              </w:rPr>
              <w:t>广网融科公司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支付5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%的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运营费。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4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</w:rPr>
              <w:t>20%≤年度实际收入&lt;60%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numPr>
                <w:ilvl w:val="-1"/>
                <w:numId w:val="0"/>
              </w:num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调低当年分成比例为60%（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highlight w:val="none"/>
              </w:rPr>
              <w:t>广网融科公司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）：30%（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）：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%（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lang w:eastAsia="zh-CN"/>
              </w:rPr>
              <w:t>运营</w:t>
            </w:r>
            <w:r>
              <w:rPr>
                <w:rFonts w:hint="eastAsia" w:asciiTheme="minorEastAsia" w:hAnsiTheme="minorEastAsia" w:cstheme="minorEastAsia"/>
                <w:sz w:val="24"/>
                <w:u w:val="none"/>
                <w:lang w:val="en-US" w:eastAsia="zh-CN"/>
              </w:rPr>
              <w:t>支撑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</w:rPr>
              <w:t>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none"/>
                <w:lang w:eastAsia="zh-CN"/>
              </w:rPr>
              <w:t>5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</w:rPr>
              <w:t>年度实际收入&lt;20%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numPr>
                <w:ilvl w:val="-1"/>
                <w:numId w:val="0"/>
              </w:numPr>
              <w:spacing w:line="276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调低当年分成比例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（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highlight w:val="none"/>
              </w:rPr>
              <w:t>广网融科公司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）：20%（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节目合作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方）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运营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支撑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u w:val="none"/>
              </w:rPr>
              <w:t>方不参与分成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</w:tr>
    </w:tbl>
    <w:p>
      <w:pPr>
        <w:pStyle w:val="2"/>
        <w:spacing w:line="580" w:lineRule="exact"/>
        <w:ind w:firstLine="640" w:firstLineChars="200"/>
        <w:jc w:val="left"/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2、广电渠道合作。分成比例为</w:t>
      </w:r>
      <w:r>
        <w:rPr>
          <w:rFonts w:hint="eastAsia" w:ascii="仿宋_GB2312" w:hAnsi="仿宋" w:eastAsia="仿宋_GB2312" w:cstheme="minorBidi"/>
          <w:kern w:val="0"/>
          <w:sz w:val="32"/>
          <w:szCs w:val="32"/>
          <w:highlight w:val="none"/>
          <w:u w:val="none"/>
          <w:lang w:eastAsia="zh-CN" w:bidi="ar"/>
        </w:rPr>
        <w:t>5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0%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eastAsia="zh-CN" w:bidi="ar"/>
        </w:rPr>
        <w:t>（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招募方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eastAsia="zh-CN" w:bidi="ar"/>
        </w:rPr>
        <w:t>）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：40%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eastAsia="zh-CN" w:bidi="ar"/>
        </w:rPr>
        <w:t>（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线下渠道推广方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eastAsia="zh-CN" w:bidi="ar"/>
        </w:rPr>
        <w:t>）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：</w:t>
      </w:r>
      <w:r>
        <w:rPr>
          <w:rFonts w:hint="eastAsia" w:ascii="仿宋_GB2312" w:hAnsi="仿宋" w:eastAsia="仿宋_GB2312" w:cstheme="minorBidi"/>
          <w:kern w:val="0"/>
          <w:sz w:val="32"/>
          <w:szCs w:val="32"/>
          <w:highlight w:val="none"/>
          <w:u w:val="none"/>
          <w:lang w:eastAsia="zh-CN" w:bidi="ar"/>
        </w:rPr>
        <w:t>1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0%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eastAsia="zh-CN" w:bidi="ar"/>
        </w:rPr>
        <w:t>（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节目合作方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eastAsia="zh-CN" w:bidi="ar"/>
        </w:rPr>
        <w:t>），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线下渠道推广套餐由广网融科公司统一审核开通，由推广方报备。</w:t>
      </w:r>
    </w:p>
    <w:p>
      <w:pPr>
        <w:pStyle w:val="2"/>
        <w:spacing w:after="0" w:line="580" w:lineRule="exact"/>
        <w:ind w:firstLine="640" w:firstLineChars="200"/>
        <w:jc w:val="left"/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</w:pP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3、考核及退出。广网融科公司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  <w:t>按月度及年度对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节目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eastAsia="zh-CN"/>
        </w:rPr>
        <w:t>合作方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及运营支撑方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  <w:t>进行考核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eastAsia="zh-CN"/>
        </w:rPr>
        <w:t>，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考核项目以广网融科公司实际下发考核表为准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  <w:t>。</w:t>
      </w:r>
    </w:p>
    <w:p>
      <w:pPr>
        <w:pStyle w:val="2"/>
        <w:numPr>
          <w:ilvl w:val="-1"/>
          <w:numId w:val="0"/>
        </w:numPr>
        <w:spacing w:after="0" w:line="580" w:lineRule="exact"/>
        <w:ind w:firstLine="640" w:firstLineChars="200"/>
        <w:jc w:val="left"/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</w:pP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（1）节目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eastAsia="zh-CN"/>
        </w:rPr>
        <w:t>合作方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及运营支撑方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  <w:t>连续3个月月度考核得分低于达标分（60分），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广网融科公司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  <w:t>有权终止合作协议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eastAsia="zh-CN"/>
        </w:rPr>
        <w:t>，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  <w:t>单方解除协议。</w:t>
      </w:r>
    </w:p>
    <w:p>
      <w:pPr>
        <w:pStyle w:val="2"/>
        <w:numPr>
          <w:ilvl w:val="-1"/>
          <w:numId w:val="0"/>
        </w:numPr>
        <w:spacing w:after="0" w:line="580" w:lineRule="exact"/>
        <w:ind w:firstLine="640" w:firstLineChars="200"/>
        <w:jc w:val="left"/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</w:pP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（2）节目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eastAsia="zh-CN"/>
        </w:rPr>
        <w:t>合作方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及运营支撑方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  <w:t>年度考核得分（取月度平均值）低于达标分（60分），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广网融科公司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  <w:t>有权终止合作协议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eastAsia="zh-CN"/>
        </w:rPr>
        <w:t>，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  <w:t>单方解除协议。</w:t>
      </w:r>
    </w:p>
    <w:p>
      <w:pPr>
        <w:pStyle w:val="2"/>
        <w:numPr>
          <w:ilvl w:val="0"/>
          <w:numId w:val="0"/>
        </w:numPr>
        <w:spacing w:line="580" w:lineRule="exact"/>
        <w:ind w:firstLine="640" w:firstLineChars="200"/>
        <w:jc w:val="left"/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eastAsia="zh-CN"/>
        </w:rPr>
        <w:t>（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3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eastAsia="zh-CN"/>
        </w:rPr>
        <w:t>）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节目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eastAsia="zh-CN"/>
        </w:rPr>
        <w:t>合作方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连续3个月累计结算收入低于1万元，广网融科公司有权终止合作协议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eastAsia="zh-CN"/>
        </w:rPr>
        <w:t>，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</w:rPr>
        <w:t>单方解除协议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spacing w:line="580" w:lineRule="exact"/>
        <w:ind w:firstLine="0" w:firstLineChars="0"/>
        <w:jc w:val="left"/>
        <w:rPr>
          <w:rFonts w:hint="eastAsia" w:ascii="黑体" w:hAnsi="黑体" w:eastAsia="黑体" w:cs="黑体"/>
          <w:kern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u w:val="none"/>
          <w:shd w:val="clear"/>
          <w:lang w:val="en-US" w:eastAsia="zh-CN"/>
        </w:rPr>
        <w:t>二、结算方式</w:t>
      </w:r>
    </w:p>
    <w:p>
      <w:pPr>
        <w:pStyle w:val="2"/>
        <w:numPr>
          <w:ilvl w:val="0"/>
          <w:numId w:val="0"/>
        </w:numPr>
        <w:spacing w:line="580" w:lineRule="exact"/>
        <w:ind w:firstLine="640" w:firstLineChars="200"/>
        <w:jc w:val="left"/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</w:pP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shd w:val="clear"/>
          <w:lang w:val="en-US" w:eastAsia="zh-CN"/>
        </w:rPr>
        <w:t>广网融科公司与节目合作方、运营支撑方按月度对账、季度结算。广网融科公司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根据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福桔少儿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实际销账收入，确定该季度结算金额总额；</w:t>
      </w:r>
    </w:p>
    <w:p>
      <w:pPr>
        <w:pStyle w:val="2"/>
        <w:numPr>
          <w:ilvl w:val="0"/>
          <w:numId w:val="4"/>
        </w:numPr>
        <w:spacing w:line="580" w:lineRule="exact"/>
        <w:ind w:firstLine="640" w:firstLineChars="200"/>
        <w:jc w:val="left"/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</w:pP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节目合作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方分成结算金额比例。针对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节目合作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方提供内容的“触发订购”“点播时长”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eastAsia="zh-CN" w:bidi="ar"/>
        </w:rPr>
        <w:t>“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点播量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eastAsia="zh-CN" w:bidi="ar"/>
        </w:rPr>
        <w:t>”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三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个维度进行权重评分（以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广网融科公司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出具的数据为准），确认各家分成结算金额比例；</w:t>
      </w:r>
    </w:p>
    <w:p>
      <w:pPr>
        <w:pStyle w:val="2"/>
        <w:numPr>
          <w:ilvl w:val="0"/>
          <w:numId w:val="4"/>
        </w:numPr>
        <w:spacing w:line="580" w:lineRule="exact"/>
        <w:ind w:firstLine="640" w:firstLineChars="200"/>
        <w:jc w:val="left"/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</w:pP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节目合作方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、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运营支撑方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实际结算金额。根据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节目合作方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、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运营支撑方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在该季度月均考核得分，确定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节目合作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val="en-US" w:eastAsia="zh-CN" w:bidi="ar"/>
        </w:rPr>
        <w:t>及运营支撑方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u w:val="none"/>
          <w:lang w:bidi="ar"/>
        </w:rPr>
        <w:t>实际结算金额。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A8CB0"/>
    <w:multiLevelType w:val="singleLevel"/>
    <w:tmpl w:val="8A4A8CB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52FA0D2"/>
    <w:multiLevelType w:val="singleLevel"/>
    <w:tmpl w:val="F52FA0D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34FCDE3"/>
    <w:multiLevelType w:val="singleLevel"/>
    <w:tmpl w:val="234FCD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C2BEAC2"/>
    <w:multiLevelType w:val="singleLevel"/>
    <w:tmpl w:val="3C2BEAC2"/>
    <w:lvl w:ilvl="0" w:tentative="0">
      <w:start w:val="1"/>
      <w:numFmt w:val="decimal"/>
      <w:suff w:val="space"/>
      <w:lvlText w:val="%1."/>
      <w:legacy w:legacy="1" w:legacySpace="0" w:legacyIndent="0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mY0MDU5YmYzMzQ4NjAyY2IzZTkwMmMyMjk0NGEifQ=="/>
  </w:docVars>
  <w:rsids>
    <w:rsidRoot w:val="7DF9042C"/>
    <w:rsid w:val="7DF9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80" w:lineRule="exac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1035</Characters>
  <Lines>0</Lines>
  <Paragraphs>0</Paragraphs>
  <TotalTime>0</TotalTime>
  <ScaleCrop>false</ScaleCrop>
  <LinksUpToDate>false</LinksUpToDate>
  <CharactersWithSpaces>1036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2023-07-10T08:08:00Z</dcterms:created>
  <dc:creator>曾经的张嘎</dc:creator>
  <cp:lastModifiedBy>曾经的张嘎</cp:lastModifiedBy>
  <dcterms:modified xsi:type="dcterms:W3CDTF">2023-07-10T08:08:37Z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36DF95264DE04F97A9CB78EEB52AFA82_11</vt:lpwstr>
  </property>
</Properties>
</file>